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6B" w:rsidRPr="0071286B" w:rsidRDefault="00995EA1">
      <w:pPr>
        <w:spacing w:after="155" w:line="259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AP Calculus Summer Assignment </w:t>
      </w:r>
      <w:r w:rsidR="0071286B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– </w:t>
      </w:r>
      <w:r w:rsidR="0071286B">
        <w:rPr>
          <w:rFonts w:ascii="Times New Roman" w:eastAsia="Times New Roman" w:hAnsi="Times New Roman" w:cs="Times New Roman"/>
          <w:i/>
          <w:color w:val="000000"/>
          <w:sz w:val="28"/>
        </w:rPr>
        <w:t>Reviewing Pre-Calculus Skills</w:t>
      </w:r>
    </w:p>
    <w:p w:rsidR="001B5A9F" w:rsidRPr="0071286B" w:rsidRDefault="00B72936" w:rsidP="00B72936">
      <w:pPr>
        <w:spacing w:after="155" w:line="259" w:lineRule="auto"/>
        <w:ind w:left="0" w:firstLine="0"/>
      </w:pPr>
      <w:r w:rsidRPr="00B72936">
        <w:rPr>
          <w:rFonts w:ascii="Times New Roman" w:eastAsia="Times New Roman" w:hAnsi="Times New Roman" w:cs="Times New Roman"/>
          <w:b/>
          <w:color w:val="2E74B5" w:themeColor="accent1" w:themeShade="BF"/>
          <w:sz w:val="28"/>
        </w:rPr>
        <w:t>Complete to 80%</w:t>
      </w:r>
      <w:r w:rsidRPr="00B72936">
        <w:rPr>
          <w:rFonts w:ascii="Times New Roman" w:eastAsia="Times New Roman" w:hAnsi="Times New Roman" w:cs="Times New Roman"/>
          <w:b/>
          <w:color w:val="2E74B5" w:themeColor="accent1" w:themeShade="BF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 w:rsidR="0071286B" w:rsidRPr="0071286B">
        <w:rPr>
          <w:rFonts w:ascii="Times New Roman" w:eastAsia="Times New Roman" w:hAnsi="Times New Roman" w:cs="Times New Roman"/>
          <w:color w:val="FF0000"/>
          <w:sz w:val="28"/>
        </w:rPr>
        <w:t>Updated 7/25/2023</w:t>
      </w:r>
    </w:p>
    <w:p w:rsidR="001B5A9F" w:rsidRPr="000B0488" w:rsidRDefault="00995EA1">
      <w:pPr>
        <w:spacing w:after="157" w:line="259" w:lineRule="auto"/>
        <w:ind w:left="0" w:firstLine="0"/>
        <w:rPr>
          <w:i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B0488">
        <w:rPr>
          <w:rFonts w:ascii="Times New Roman" w:eastAsia="Times New Roman" w:hAnsi="Times New Roman" w:cs="Times New Roman"/>
          <w:i/>
          <w:color w:val="000000"/>
          <w:sz w:val="28"/>
        </w:rPr>
        <w:t>(Follow the name… sometimes the numbers change.)</w:t>
      </w:r>
    </w:p>
    <w:p w:rsidR="001B5A9F" w:rsidRPr="0071286B" w:rsidRDefault="0071286B">
      <w:pPr>
        <w:spacing w:after="174" w:line="259" w:lineRule="auto"/>
        <w:ind w:left="0" w:firstLine="0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 w:rsidRPr="0071286B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Pre-Calculus IXL</w:t>
      </w:r>
    </w:p>
    <w:p w:rsidR="001B5A9F" w:rsidRDefault="00995EA1" w:rsidP="00CF00EE">
      <w:pPr>
        <w:pStyle w:val="Heading1"/>
        <w:numPr>
          <w:ilvl w:val="0"/>
          <w:numId w:val="0"/>
        </w:numPr>
        <w:ind w:left="-5"/>
      </w:pPr>
      <w:r w:rsidRPr="00E617BC">
        <w:rPr>
          <w:color w:val="auto"/>
        </w:rPr>
        <w:t>A</w:t>
      </w:r>
      <w:r>
        <w:rPr>
          <w:color w:val="545454"/>
        </w:rPr>
        <w:t>.</w:t>
      </w:r>
      <w:r w:rsidR="00E617BC">
        <w:rPr>
          <w:color w:val="545454"/>
        </w:rPr>
        <w:t xml:space="preserve"> </w:t>
      </w:r>
      <w:r>
        <w:t xml:space="preserve">Functions </w:t>
      </w:r>
    </w:p>
    <w:p w:rsidR="001B6FF1" w:rsidRDefault="001B6FF1" w:rsidP="00CF00EE">
      <w:pPr>
        <w:spacing w:after="0" w:line="259" w:lineRule="auto"/>
      </w:pPr>
      <w:r>
        <w:t>1. Domain and Range</w:t>
      </w:r>
    </w:p>
    <w:p w:rsidR="001B6FF1" w:rsidRDefault="001B6FF1" w:rsidP="00CF00EE">
      <w:pPr>
        <w:spacing w:after="0" w:line="259" w:lineRule="auto"/>
        <w:ind w:left="0" w:firstLine="0"/>
      </w:pPr>
      <w:r>
        <w:t>11. Composition of Functions</w:t>
      </w:r>
      <w:r>
        <w:tab/>
      </w:r>
      <w:r w:rsidRPr="001B6FF1">
        <w:rPr>
          <w:i/>
          <w:color w:val="FF0000"/>
        </w:rPr>
        <w:t>(Must reset back to 0 first.)</w:t>
      </w:r>
    </w:p>
    <w:p w:rsidR="001B5A9F" w:rsidRDefault="001B6FF1" w:rsidP="00CF00EE">
      <w:pPr>
        <w:spacing w:after="0" w:line="259" w:lineRule="auto"/>
        <w:ind w:left="0" w:firstLine="0"/>
        <w:rPr>
          <w:color w:val="FF0000"/>
        </w:rPr>
      </w:pPr>
      <w:r>
        <w:t xml:space="preserve">12. Identify inverse functions </w:t>
      </w:r>
      <w:r>
        <w:tab/>
      </w:r>
    </w:p>
    <w:p w:rsidR="001B6FF1" w:rsidRPr="001B6FF1" w:rsidRDefault="001B6FF1" w:rsidP="00CF00EE">
      <w:pPr>
        <w:spacing w:after="0" w:line="259" w:lineRule="auto"/>
        <w:ind w:left="0" w:firstLine="0"/>
        <w:rPr>
          <w:color w:val="385623" w:themeColor="accent6" w:themeShade="80"/>
        </w:rPr>
      </w:pPr>
    </w:p>
    <w:p w:rsidR="001B5A9F" w:rsidRDefault="00995EA1" w:rsidP="00CF00EE">
      <w:pPr>
        <w:pStyle w:val="Heading1"/>
        <w:numPr>
          <w:ilvl w:val="0"/>
          <w:numId w:val="0"/>
        </w:numPr>
        <w:ind w:left="-5"/>
      </w:pPr>
      <w:r w:rsidRPr="00E617BC">
        <w:rPr>
          <w:color w:val="auto"/>
        </w:rPr>
        <w:t>B</w:t>
      </w:r>
      <w:r>
        <w:rPr>
          <w:color w:val="545454"/>
        </w:rPr>
        <w:t>.</w:t>
      </w:r>
      <w:r w:rsidR="00E617BC">
        <w:rPr>
          <w:color w:val="545454"/>
        </w:rPr>
        <w:t xml:space="preserve"> </w:t>
      </w:r>
      <w:r>
        <w:t xml:space="preserve">Families of functions </w:t>
      </w:r>
    </w:p>
    <w:p w:rsidR="001B5A9F" w:rsidRDefault="00441ED7" w:rsidP="00CF00EE">
      <w:pPr>
        <w:numPr>
          <w:ilvl w:val="0"/>
          <w:numId w:val="2"/>
        </w:numPr>
        <w:spacing w:after="0"/>
        <w:ind w:hanging="197"/>
      </w:pPr>
      <w:hyperlink r:id="rId5">
        <w:r w:rsidR="00995EA1">
          <w:t>Function transformation rules</w:t>
        </w:r>
      </w:hyperlink>
      <w:hyperlink r:id="rId6">
        <w:r w:rsidR="00995EA1">
          <w:rPr>
            <w:color w:val="000000"/>
          </w:rPr>
          <w:t xml:space="preserve"> </w:t>
        </w:r>
      </w:hyperlink>
    </w:p>
    <w:p w:rsidR="001B5A9F" w:rsidRDefault="00441ED7" w:rsidP="00CF00EE">
      <w:pPr>
        <w:numPr>
          <w:ilvl w:val="0"/>
          <w:numId w:val="2"/>
        </w:numPr>
        <w:spacing w:after="0"/>
        <w:ind w:hanging="197"/>
      </w:pPr>
      <w:hyperlink r:id="rId7">
        <w:r w:rsidR="00995EA1">
          <w:t>Translations of functions</w:t>
        </w:r>
      </w:hyperlink>
      <w:hyperlink r:id="rId8">
        <w:r w:rsidR="00995EA1">
          <w:rPr>
            <w:color w:val="000000"/>
          </w:rPr>
          <w:t xml:space="preserve"> </w:t>
        </w:r>
      </w:hyperlink>
    </w:p>
    <w:p w:rsidR="001B5A9F" w:rsidRDefault="001B5A9F" w:rsidP="00CF00EE">
      <w:pPr>
        <w:spacing w:after="0" w:line="259" w:lineRule="auto"/>
        <w:ind w:left="0" w:firstLine="0"/>
      </w:pPr>
    </w:p>
    <w:p w:rsidR="002E27F5" w:rsidRPr="002E27F5" w:rsidRDefault="002E27F5" w:rsidP="00CF00EE">
      <w:pPr>
        <w:pStyle w:val="Heading1"/>
        <w:numPr>
          <w:ilvl w:val="0"/>
          <w:numId w:val="0"/>
        </w:numPr>
        <w:ind w:left="-5"/>
      </w:pPr>
      <w:r w:rsidRPr="00E617BC">
        <w:rPr>
          <w:color w:val="auto"/>
        </w:rPr>
        <w:t>C</w:t>
      </w:r>
      <w:r>
        <w:rPr>
          <w:color w:val="545454"/>
        </w:rPr>
        <w:t>.</w:t>
      </w:r>
      <w:r w:rsidR="00E617BC">
        <w:rPr>
          <w:color w:val="545454"/>
        </w:rPr>
        <w:t xml:space="preserve"> </w:t>
      </w:r>
      <w:r>
        <w:t xml:space="preserve">Quadratic functions </w:t>
      </w:r>
    </w:p>
    <w:p w:rsidR="002E27F5" w:rsidRDefault="002E27F5" w:rsidP="00CF00EE">
      <w:pPr>
        <w:spacing w:after="0" w:line="259" w:lineRule="auto"/>
        <w:ind w:left="0" w:firstLine="0"/>
      </w:pPr>
      <w:r>
        <w:t xml:space="preserve">2. </w:t>
      </w:r>
      <w:r w:rsidR="00D643DC">
        <w:t>Characteristics</w:t>
      </w:r>
      <w:r>
        <w:t xml:space="preserve"> of a quadratic function</w:t>
      </w:r>
    </w:p>
    <w:p w:rsidR="002E27F5" w:rsidRDefault="002E27F5" w:rsidP="00CF00EE">
      <w:pPr>
        <w:spacing w:after="0" w:line="259" w:lineRule="auto"/>
        <w:ind w:left="0" w:firstLine="0"/>
      </w:pPr>
      <w:r>
        <w:t>6. Solve a quadratic equation by factoring</w:t>
      </w:r>
    </w:p>
    <w:p w:rsidR="002E27F5" w:rsidRDefault="002E27F5">
      <w:pPr>
        <w:pStyle w:val="Heading1"/>
        <w:numPr>
          <w:ilvl w:val="0"/>
          <w:numId w:val="0"/>
        </w:numPr>
        <w:ind w:left="-5"/>
        <w:rPr>
          <w:color w:val="545454"/>
        </w:rPr>
      </w:pPr>
    </w:p>
    <w:p w:rsidR="001C5F96" w:rsidRDefault="00E617BC" w:rsidP="00C81E98">
      <w:pPr>
        <w:pStyle w:val="Heading1"/>
        <w:numPr>
          <w:ilvl w:val="0"/>
          <w:numId w:val="0"/>
        </w:numPr>
      </w:pPr>
      <w:r>
        <w:rPr>
          <w:color w:val="auto"/>
        </w:rPr>
        <w:t>F</w:t>
      </w:r>
      <w:r w:rsidR="00C81E98">
        <w:t xml:space="preserve">. </w:t>
      </w:r>
      <w:r w:rsidR="001C5F96">
        <w:t xml:space="preserve">Exponential and logarithmic functions </w:t>
      </w:r>
    </w:p>
    <w:p w:rsidR="001C5F96" w:rsidRDefault="00544D0F" w:rsidP="00544D0F">
      <w:r>
        <w:t xml:space="preserve">1 </w:t>
      </w:r>
      <w:hyperlink r:id="rId9">
        <w:r w:rsidR="001C5F96">
          <w:t>Domain and range of exponential and logarithmic functions</w:t>
        </w:r>
      </w:hyperlink>
      <w:hyperlink r:id="rId10">
        <w:r w:rsidR="001C5F96">
          <w:rPr>
            <w:color w:val="000000"/>
          </w:rPr>
          <w:t xml:space="preserve"> </w:t>
        </w:r>
      </w:hyperlink>
      <w:r w:rsidR="001C5F96">
        <w:rPr>
          <w:color w:val="000000"/>
        </w:rPr>
        <w:tab/>
      </w:r>
      <w:r w:rsidR="001C5F96" w:rsidRPr="001B6FF1">
        <w:rPr>
          <w:i/>
          <w:color w:val="FF0000"/>
        </w:rPr>
        <w:t>(Must reset back to 0 first.)</w:t>
      </w:r>
    </w:p>
    <w:p w:rsidR="001C5F96" w:rsidRDefault="00544D0F" w:rsidP="00544D0F">
      <w:r>
        <w:t xml:space="preserve">2 </w:t>
      </w:r>
      <w:r w:rsidR="001C5F96">
        <w:t>Match exponential functions and graphs</w:t>
      </w:r>
    </w:p>
    <w:p w:rsidR="001C5F96" w:rsidRDefault="00544D0F" w:rsidP="00544D0F">
      <w:r>
        <w:t xml:space="preserve">5 </w:t>
      </w:r>
      <w:hyperlink r:id="rId11">
        <w:r w:rsidR="001C5F96">
          <w:t>Evaluate logarithms</w:t>
        </w:r>
      </w:hyperlink>
      <w:hyperlink r:id="rId12">
        <w:r w:rsidR="001C5F96" w:rsidRPr="00544D0F">
          <w:rPr>
            <w:color w:val="000000"/>
          </w:rPr>
          <w:t xml:space="preserve"> </w:t>
        </w:r>
      </w:hyperlink>
    </w:p>
    <w:p w:rsidR="001C5F96" w:rsidRDefault="001C5F96" w:rsidP="00544D0F">
      <w:r>
        <w:t>6</w:t>
      </w:r>
      <w:r w:rsidR="00544D0F">
        <w:t xml:space="preserve"> </w:t>
      </w:r>
      <w:hyperlink r:id="rId13">
        <w:r>
          <w:t>Change of base formula</w:t>
        </w:r>
      </w:hyperlink>
      <w:hyperlink r:id="rId14">
        <w:r w:rsidRPr="00544D0F">
          <w:rPr>
            <w:color w:val="000000"/>
          </w:rPr>
          <w:t xml:space="preserve"> </w:t>
        </w:r>
      </w:hyperlink>
    </w:p>
    <w:p w:rsidR="001C5F96" w:rsidRDefault="00544D0F" w:rsidP="00544D0F">
      <w:r>
        <w:t xml:space="preserve">7 </w:t>
      </w:r>
      <w:hyperlink r:id="rId15">
        <w:r w:rsidR="001C5F96">
          <w:t>Product property of logarithms</w:t>
        </w:r>
      </w:hyperlink>
      <w:hyperlink r:id="rId16">
        <w:r w:rsidR="001C5F96" w:rsidRPr="00544D0F">
          <w:rPr>
            <w:color w:val="000000"/>
          </w:rPr>
          <w:t xml:space="preserve"> </w:t>
        </w:r>
      </w:hyperlink>
    </w:p>
    <w:p w:rsidR="001C5F96" w:rsidRDefault="00544D0F" w:rsidP="00544D0F">
      <w:r>
        <w:t xml:space="preserve">8 </w:t>
      </w:r>
      <w:hyperlink r:id="rId17">
        <w:r w:rsidR="001C5F96">
          <w:t>Quotient property of logarithms</w:t>
        </w:r>
      </w:hyperlink>
      <w:hyperlink r:id="rId18">
        <w:r w:rsidR="001C5F96">
          <w:rPr>
            <w:color w:val="000000"/>
          </w:rPr>
          <w:t xml:space="preserve"> </w:t>
        </w:r>
      </w:hyperlink>
    </w:p>
    <w:p w:rsidR="001C5F96" w:rsidRDefault="00544D0F" w:rsidP="00544D0F">
      <w:r>
        <w:t xml:space="preserve">9 </w:t>
      </w:r>
      <w:hyperlink r:id="rId19">
        <w:r w:rsidR="001C5F96">
          <w:t>Power property of logarithms</w:t>
        </w:r>
      </w:hyperlink>
      <w:hyperlink r:id="rId20">
        <w:r w:rsidR="001C5F96">
          <w:rPr>
            <w:color w:val="000000"/>
          </w:rPr>
          <w:t xml:space="preserve"> </w:t>
        </w:r>
      </w:hyperlink>
    </w:p>
    <w:p w:rsidR="001C5F96" w:rsidRPr="009C3414" w:rsidRDefault="00544D0F" w:rsidP="00544D0F">
      <w:r w:rsidRPr="00004C4E">
        <w:rPr>
          <w:color w:val="385623" w:themeColor="accent6" w:themeShade="80"/>
        </w:rPr>
        <w:t>11</w:t>
      </w:r>
      <w:r>
        <w:rPr>
          <w:color w:val="auto"/>
        </w:rPr>
        <w:t xml:space="preserve"> </w:t>
      </w:r>
      <w:hyperlink r:id="rId21">
        <w:r w:rsidR="001C5F96">
          <w:t>Evaluate logarithms using properties</w:t>
        </w:r>
      </w:hyperlink>
      <w:hyperlink r:id="rId22">
        <w:r w:rsidR="001C5F96" w:rsidRPr="00544D0F">
          <w:rPr>
            <w:color w:val="000000"/>
          </w:rPr>
          <w:t xml:space="preserve"> </w:t>
        </w:r>
      </w:hyperlink>
    </w:p>
    <w:p w:rsidR="001C5F96" w:rsidRDefault="00544D0F" w:rsidP="00544D0F">
      <w:r>
        <w:t xml:space="preserve">12 </w:t>
      </w:r>
      <w:r w:rsidR="001C5F96">
        <w:t>Graph logarithmic functions</w:t>
      </w:r>
    </w:p>
    <w:p w:rsidR="001C5F96" w:rsidRDefault="001C5F96" w:rsidP="00CF00EE">
      <w:pPr>
        <w:pStyle w:val="Heading1"/>
        <w:numPr>
          <w:ilvl w:val="0"/>
          <w:numId w:val="0"/>
        </w:numPr>
        <w:rPr>
          <w:color w:val="545454"/>
        </w:rPr>
      </w:pPr>
    </w:p>
    <w:p w:rsidR="001B5A9F" w:rsidRDefault="00E945AF">
      <w:pPr>
        <w:pStyle w:val="Heading1"/>
        <w:numPr>
          <w:ilvl w:val="0"/>
          <w:numId w:val="0"/>
        </w:numPr>
        <w:ind w:left="-5"/>
      </w:pPr>
      <w:r w:rsidRPr="00E617BC">
        <w:rPr>
          <w:color w:val="auto"/>
        </w:rPr>
        <w:t>M</w:t>
      </w:r>
      <w:r w:rsidR="00995EA1">
        <w:rPr>
          <w:color w:val="545454"/>
        </w:rPr>
        <w:t>.</w:t>
      </w:r>
      <w:r w:rsidR="00E617BC">
        <w:rPr>
          <w:color w:val="545454"/>
        </w:rPr>
        <w:t xml:space="preserve"> </w:t>
      </w:r>
      <w:r w:rsidR="00995EA1">
        <w:t xml:space="preserve">Trigonometric functions </w:t>
      </w:r>
    </w:p>
    <w:p w:rsidR="001B5A9F" w:rsidRDefault="00E945AF" w:rsidP="00E945AF">
      <w:r>
        <w:t xml:space="preserve">3 </w:t>
      </w:r>
      <w:hyperlink r:id="rId23">
        <w:r w:rsidR="00D643DC">
          <w:t>Quadrant</w:t>
        </w:r>
      </w:hyperlink>
      <w:hyperlink r:id="rId24">
        <w:r w:rsidR="00995EA1" w:rsidRPr="00E945AF">
          <w:rPr>
            <w:color w:val="000000"/>
          </w:rPr>
          <w:t xml:space="preserve"> </w:t>
        </w:r>
      </w:hyperlink>
    </w:p>
    <w:p w:rsidR="001B5A9F" w:rsidRDefault="00E945AF" w:rsidP="00E945AF">
      <w:r>
        <w:t xml:space="preserve">5 </w:t>
      </w:r>
      <w:hyperlink r:id="rId25">
        <w:r w:rsidR="00995EA1">
          <w:t>Find trigonometric ratios using right triangles</w:t>
        </w:r>
      </w:hyperlink>
      <w:hyperlink r:id="rId26">
        <w:r w:rsidR="00995EA1">
          <w:rPr>
            <w:color w:val="000000"/>
          </w:rPr>
          <w:t xml:space="preserve"> </w:t>
        </w:r>
      </w:hyperlink>
    </w:p>
    <w:p w:rsidR="001B5A9F" w:rsidRDefault="00E945AF" w:rsidP="00E945AF">
      <w:pPr>
        <w:ind w:left="0" w:firstLine="0"/>
      </w:pPr>
      <w:r>
        <w:t xml:space="preserve">6 </w:t>
      </w:r>
      <w:hyperlink r:id="rId27">
        <w:r w:rsidR="00995EA1">
          <w:t>Find trigonometric ratios using the unit circle</w:t>
        </w:r>
      </w:hyperlink>
      <w:hyperlink r:id="rId28">
        <w:r w:rsidR="00995EA1">
          <w:rPr>
            <w:color w:val="000000"/>
          </w:rPr>
          <w:t xml:space="preserve"> </w:t>
        </w:r>
      </w:hyperlink>
    </w:p>
    <w:p w:rsidR="001B5A9F" w:rsidRDefault="00CF00EE" w:rsidP="00CF00EE">
      <w:pPr>
        <w:ind w:left="0" w:firstLine="0"/>
      </w:pPr>
      <w:r>
        <w:t xml:space="preserve">8 </w:t>
      </w:r>
      <w:hyperlink r:id="rId29">
        <w:r w:rsidR="00995EA1">
          <w:t>Find trigonometric ratios using reference angles</w:t>
        </w:r>
      </w:hyperlink>
      <w:hyperlink r:id="rId30">
        <w:r w:rsidR="00995EA1">
          <w:rPr>
            <w:color w:val="000000"/>
          </w:rPr>
          <w:t xml:space="preserve"> </w:t>
        </w:r>
      </w:hyperlink>
      <w:r w:rsidR="00995E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5A9F" w:rsidRDefault="00995EA1" w:rsidP="00B651CE">
      <w:pPr>
        <w:spacing w:after="161" w:line="259" w:lineRule="auto"/>
        <w:ind w:left="0" w:firstLine="0"/>
      </w:pPr>
      <w:r>
        <w:rPr>
          <w:color w:val="000000"/>
        </w:rPr>
        <w:t xml:space="preserve"> </w:t>
      </w:r>
    </w:p>
    <w:p w:rsidR="00B651CE" w:rsidRPr="0071286B" w:rsidRDefault="00995EA1" w:rsidP="00B651CE">
      <w:pPr>
        <w:spacing w:after="174" w:line="259" w:lineRule="auto"/>
        <w:ind w:left="0" w:firstLine="0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1CE" w:rsidRPr="0071286B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Calculus IXL</w:t>
      </w:r>
    </w:p>
    <w:p w:rsidR="00B651CE" w:rsidRDefault="00B651CE" w:rsidP="00E617BC">
      <w:pPr>
        <w:pStyle w:val="Heading1"/>
        <w:numPr>
          <w:ilvl w:val="0"/>
          <w:numId w:val="18"/>
        </w:numPr>
      </w:pPr>
      <w:r>
        <w:t>Introduction to Limits</w:t>
      </w:r>
    </w:p>
    <w:p w:rsidR="00B651CE" w:rsidRPr="00004C4E" w:rsidRDefault="00B651CE" w:rsidP="00B651CE">
      <w:pPr>
        <w:pStyle w:val="Heading1"/>
        <w:numPr>
          <w:ilvl w:val="0"/>
          <w:numId w:val="0"/>
        </w:numPr>
        <w:ind w:left="-5"/>
        <w:rPr>
          <w:rFonts w:ascii="Verdana" w:hAnsi="Verdana"/>
          <w:sz w:val="20"/>
          <w:szCs w:val="20"/>
        </w:rPr>
      </w:pPr>
      <w:r w:rsidRPr="00004C4E">
        <w:rPr>
          <w:rFonts w:ascii="Verdana" w:hAnsi="Verdana"/>
          <w:color w:val="385623" w:themeColor="accent6" w:themeShade="80"/>
          <w:sz w:val="20"/>
          <w:szCs w:val="20"/>
        </w:rPr>
        <w:t xml:space="preserve">3 </w:t>
      </w:r>
      <w:r w:rsidRPr="00004C4E">
        <w:rPr>
          <w:rFonts w:ascii="Verdana" w:hAnsi="Verdana"/>
          <w:color w:val="538135" w:themeColor="accent6" w:themeShade="BF"/>
          <w:sz w:val="20"/>
          <w:szCs w:val="20"/>
        </w:rPr>
        <w:t>Determine if a limit exists</w:t>
      </w:r>
    </w:p>
    <w:p w:rsidR="001B5A9F" w:rsidRDefault="001B5A9F">
      <w:pPr>
        <w:spacing w:after="0" w:line="259" w:lineRule="auto"/>
        <w:ind w:left="0" w:firstLine="0"/>
      </w:pPr>
    </w:p>
    <w:p w:rsidR="001B5A9F" w:rsidRDefault="00995EA1" w:rsidP="00606064">
      <w:pPr>
        <w:spacing w:after="14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sectPr w:rsidR="001B5A9F" w:rsidSect="0071286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2E2"/>
    <w:multiLevelType w:val="hybridMultilevel"/>
    <w:tmpl w:val="9B5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8B9"/>
    <w:multiLevelType w:val="hybridMultilevel"/>
    <w:tmpl w:val="85F0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F7F"/>
    <w:multiLevelType w:val="hybridMultilevel"/>
    <w:tmpl w:val="B7AE2782"/>
    <w:lvl w:ilvl="0" w:tplc="4432C214">
      <w:start w:val="1"/>
      <w:numFmt w:val="decimal"/>
      <w:lvlText w:val="%1"/>
      <w:lvlJc w:val="left"/>
      <w:pPr>
        <w:ind w:left="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CD90A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4ABBC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E3EC6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2AD10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8F8E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4D602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0DC4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8308C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B7059"/>
    <w:multiLevelType w:val="hybridMultilevel"/>
    <w:tmpl w:val="CF0C8AD4"/>
    <w:lvl w:ilvl="0" w:tplc="84621A10">
      <w:start w:val="1"/>
      <w:numFmt w:val="decimal"/>
      <w:lvlText w:val="%1"/>
      <w:lvlJc w:val="left"/>
      <w:pPr>
        <w:ind w:left="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03844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2A400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8141C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41F2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A6E64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E2D2A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103D9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2E85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35CAF"/>
    <w:multiLevelType w:val="hybridMultilevel"/>
    <w:tmpl w:val="9F422852"/>
    <w:lvl w:ilvl="0" w:tplc="B652F64E">
      <w:start w:val="5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5" w15:restartNumberingAfterBreak="0">
    <w:nsid w:val="0F34660D"/>
    <w:multiLevelType w:val="hybridMultilevel"/>
    <w:tmpl w:val="9C6A09EC"/>
    <w:lvl w:ilvl="0" w:tplc="DFD0EB8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C34C5"/>
    <w:multiLevelType w:val="hybridMultilevel"/>
    <w:tmpl w:val="0C44C9C0"/>
    <w:lvl w:ilvl="0" w:tplc="78CE16C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54CEA"/>
    <w:multiLevelType w:val="hybridMultilevel"/>
    <w:tmpl w:val="AA528020"/>
    <w:lvl w:ilvl="0" w:tplc="9FA274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57C6"/>
    <w:multiLevelType w:val="hybridMultilevel"/>
    <w:tmpl w:val="17C674F6"/>
    <w:lvl w:ilvl="0" w:tplc="CCE28A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832"/>
    <w:multiLevelType w:val="hybridMultilevel"/>
    <w:tmpl w:val="A26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4E50"/>
    <w:multiLevelType w:val="hybridMultilevel"/>
    <w:tmpl w:val="1BEC7936"/>
    <w:lvl w:ilvl="0" w:tplc="F8F80556">
      <w:start w:val="1"/>
      <w:numFmt w:val="upperLetter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15F1126"/>
    <w:multiLevelType w:val="multilevel"/>
    <w:tmpl w:val="EF02DCAC"/>
    <w:lvl w:ilvl="0">
      <w:start w:val="1"/>
      <w:numFmt w:val="decimal"/>
      <w:lvlText w:val="%1"/>
      <w:lvlJc w:val="left"/>
      <w:pPr>
        <w:ind w:left="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094EC2"/>
    <w:multiLevelType w:val="hybridMultilevel"/>
    <w:tmpl w:val="3C6A0A7A"/>
    <w:lvl w:ilvl="0" w:tplc="DFD0EB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7FC1"/>
    <w:multiLevelType w:val="hybridMultilevel"/>
    <w:tmpl w:val="A88C78AA"/>
    <w:lvl w:ilvl="0" w:tplc="7D9AF72A">
      <w:start w:val="2"/>
      <w:numFmt w:val="decimal"/>
      <w:lvlText w:val="%1"/>
      <w:lvlJc w:val="left"/>
      <w:pPr>
        <w:ind w:left="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693F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408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473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24C5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4000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0E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837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C10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687082"/>
    <w:multiLevelType w:val="hybridMultilevel"/>
    <w:tmpl w:val="EF02DCAC"/>
    <w:lvl w:ilvl="0" w:tplc="62500288">
      <w:start w:val="1"/>
      <w:numFmt w:val="decimal"/>
      <w:lvlText w:val="%1"/>
      <w:lvlJc w:val="left"/>
      <w:pPr>
        <w:ind w:left="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44DC6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807F8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82412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62DB0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411D2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0AAC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8D544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2A330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D6528"/>
    <w:multiLevelType w:val="hybridMultilevel"/>
    <w:tmpl w:val="45BEEDDA"/>
    <w:lvl w:ilvl="0" w:tplc="DF58D7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4DF0"/>
    <w:multiLevelType w:val="hybridMultilevel"/>
    <w:tmpl w:val="4D8A0986"/>
    <w:lvl w:ilvl="0" w:tplc="C3AE5BFC">
      <w:start w:val="500"/>
      <w:numFmt w:val="upperRoman"/>
      <w:pStyle w:val="Heading1"/>
      <w:lvlText w:val="%1.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B0C29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CC537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78E78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E4F4C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0CDD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84E44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28DD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01B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54545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E32147"/>
    <w:multiLevelType w:val="hybridMultilevel"/>
    <w:tmpl w:val="30C20312"/>
    <w:lvl w:ilvl="0" w:tplc="DFD0EB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5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F"/>
    <w:rsid w:val="00004C4E"/>
    <w:rsid w:val="000B0488"/>
    <w:rsid w:val="001B5A9F"/>
    <w:rsid w:val="001B6FF1"/>
    <w:rsid w:val="001C5F96"/>
    <w:rsid w:val="002E27F5"/>
    <w:rsid w:val="00323ACE"/>
    <w:rsid w:val="00441ED7"/>
    <w:rsid w:val="00544D0F"/>
    <w:rsid w:val="00606064"/>
    <w:rsid w:val="0071286B"/>
    <w:rsid w:val="00995EA1"/>
    <w:rsid w:val="009C3414"/>
    <w:rsid w:val="00B651CE"/>
    <w:rsid w:val="00B72936"/>
    <w:rsid w:val="00C81E98"/>
    <w:rsid w:val="00CF00EE"/>
    <w:rsid w:val="00D643DC"/>
    <w:rsid w:val="00E617BC"/>
    <w:rsid w:val="00E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BB4-1C86-43CD-B1CD-EB4527E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</w:pPr>
    <w:rPr>
      <w:rFonts w:ascii="Verdana" w:eastAsia="Verdana" w:hAnsi="Verdana" w:cs="Verdana"/>
      <w:color w:val="3B6715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rebuchet MS" w:eastAsia="Trebuchet MS" w:hAnsi="Trebuchet MS" w:cs="Trebuchet MS"/>
      <w:color w:val="4EA60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color w:val="4EA601"/>
      <w:sz w:val="30"/>
    </w:rPr>
  </w:style>
  <w:style w:type="paragraph" w:styleId="ListParagraph">
    <w:name w:val="List Paragraph"/>
    <w:basedOn w:val="Normal"/>
    <w:uiPriority w:val="34"/>
    <w:qFormat/>
    <w:rsid w:val="009C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calculus/translations-of-functions" TargetMode="External"/><Relationship Id="rId13" Type="http://schemas.openxmlformats.org/officeDocument/2006/relationships/hyperlink" Target="https://www.ixl.com/math/calculus/change-of-base-formula" TargetMode="External"/><Relationship Id="rId18" Type="http://schemas.openxmlformats.org/officeDocument/2006/relationships/hyperlink" Target="https://www.ixl.com/math/calculus/quotient-property-of-logarithms" TargetMode="External"/><Relationship Id="rId26" Type="http://schemas.openxmlformats.org/officeDocument/2006/relationships/hyperlink" Target="https://www.ixl.com/math/calculus/find-trigonometric-ratios-using-right-triang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xl.com/math/calculus/evaluate-logarithms-using-properties" TargetMode="External"/><Relationship Id="rId7" Type="http://schemas.openxmlformats.org/officeDocument/2006/relationships/hyperlink" Target="https://www.ixl.com/math/calculus/translations-of-functions" TargetMode="External"/><Relationship Id="rId12" Type="http://schemas.openxmlformats.org/officeDocument/2006/relationships/hyperlink" Target="https://www.ixl.com/math/calculus/evaluate-logarithms" TargetMode="External"/><Relationship Id="rId17" Type="http://schemas.openxmlformats.org/officeDocument/2006/relationships/hyperlink" Target="https://www.ixl.com/math/calculus/quotient-property-of-logarithms" TargetMode="External"/><Relationship Id="rId25" Type="http://schemas.openxmlformats.org/officeDocument/2006/relationships/hyperlink" Target="https://www.ixl.com/math/calculus/find-trigonometric-ratios-using-right-triang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xl.com/math/calculus/product-property-of-logarithms" TargetMode="External"/><Relationship Id="rId20" Type="http://schemas.openxmlformats.org/officeDocument/2006/relationships/hyperlink" Target="https://www.ixl.com/math/calculus/power-property-of-logarithms" TargetMode="External"/><Relationship Id="rId29" Type="http://schemas.openxmlformats.org/officeDocument/2006/relationships/hyperlink" Target="https://www.ixl.com/math/calculus/find-trigonometric-ratios-using-reference-ang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xl.com/math/calculus/function-transformation-rules" TargetMode="External"/><Relationship Id="rId11" Type="http://schemas.openxmlformats.org/officeDocument/2006/relationships/hyperlink" Target="https://www.ixl.com/math/calculus/evaluate-logarithms" TargetMode="External"/><Relationship Id="rId24" Type="http://schemas.openxmlformats.org/officeDocument/2006/relationships/hyperlink" Target="https://www.ixl.com/math/calculus/quadran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xl.com/math/calculus/function-transformation-rules" TargetMode="External"/><Relationship Id="rId15" Type="http://schemas.openxmlformats.org/officeDocument/2006/relationships/hyperlink" Target="https://www.ixl.com/math/calculus/product-property-of-logarithms" TargetMode="External"/><Relationship Id="rId23" Type="http://schemas.openxmlformats.org/officeDocument/2006/relationships/hyperlink" Target="https://www.ixl.com/math/calculus/quadrants" TargetMode="External"/><Relationship Id="rId28" Type="http://schemas.openxmlformats.org/officeDocument/2006/relationships/hyperlink" Target="https://www.ixl.com/math/calculus/find-trigonometric-ratios-using-the-unit-circle" TargetMode="External"/><Relationship Id="rId10" Type="http://schemas.openxmlformats.org/officeDocument/2006/relationships/hyperlink" Target="https://www.ixl.com/math/calculus/domain-and-range-of-exponential-and-logarithmic-functions" TargetMode="External"/><Relationship Id="rId19" Type="http://schemas.openxmlformats.org/officeDocument/2006/relationships/hyperlink" Target="https://www.ixl.com/math/calculus/power-property-of-logarithm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calculus/domain-and-range-of-exponential-and-logarithmic-functions" TargetMode="External"/><Relationship Id="rId14" Type="http://schemas.openxmlformats.org/officeDocument/2006/relationships/hyperlink" Target="https://www.ixl.com/math/calculus/change-of-base-formula" TargetMode="External"/><Relationship Id="rId22" Type="http://schemas.openxmlformats.org/officeDocument/2006/relationships/hyperlink" Target="https://www.ixl.com/math/calculus/evaluate-logarithms-using-properties" TargetMode="External"/><Relationship Id="rId27" Type="http://schemas.openxmlformats.org/officeDocument/2006/relationships/hyperlink" Target="https://www.ixl.com/math/calculus/find-trigonometric-ratios-using-the-unit-circle" TargetMode="External"/><Relationship Id="rId30" Type="http://schemas.openxmlformats.org/officeDocument/2006/relationships/hyperlink" Target="https://www.ixl.com/math/calculus/find-trigonometric-ratios-using-reference-an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Public Schools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Johnson</dc:creator>
  <cp:keywords/>
  <cp:lastModifiedBy>Susan Ekimoglou</cp:lastModifiedBy>
  <cp:revision>2</cp:revision>
  <cp:lastPrinted>2023-08-14T18:54:00Z</cp:lastPrinted>
  <dcterms:created xsi:type="dcterms:W3CDTF">2023-08-14T18:56:00Z</dcterms:created>
  <dcterms:modified xsi:type="dcterms:W3CDTF">2023-08-14T18:56:00Z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c64ed4cdb0301ff6c4058731457b4e54b4eacd34ff6e0dce8a0b1a8bcbb78ed8</vt:lpwstr>
  </property>
</Properties>
</file>